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08" w:rsidRDefault="00DF335E">
      <w:pPr>
        <w:pStyle w:val="ConsPlusNormal"/>
        <w:jc w:val="right"/>
        <w:outlineLvl w:val="0"/>
      </w:pPr>
      <w:bookmarkStart w:id="0" w:name="_GoBack"/>
      <w:bookmarkEnd w:id="0"/>
      <w:r>
        <w:t>Приложение N 7</w:t>
      </w:r>
    </w:p>
    <w:p w:rsidR="00A63908" w:rsidRDefault="00DF335E">
      <w:pPr>
        <w:pStyle w:val="ConsPlusNormal"/>
        <w:jc w:val="right"/>
      </w:pPr>
      <w:r>
        <w:t>к Программе</w:t>
      </w:r>
    </w:p>
    <w:p w:rsidR="00A63908" w:rsidRDefault="00A63908">
      <w:pPr>
        <w:pStyle w:val="ConsPlusNormal"/>
        <w:jc w:val="both"/>
      </w:pPr>
    </w:p>
    <w:p w:rsidR="00A63908" w:rsidRDefault="00DF335E">
      <w:pPr>
        <w:pStyle w:val="ConsPlusTitle"/>
        <w:jc w:val="center"/>
      </w:pPr>
      <w:r>
        <w:t>ПРАВИЛА</w:t>
      </w:r>
    </w:p>
    <w:p w:rsidR="00A63908" w:rsidRDefault="00DF335E">
      <w:pPr>
        <w:pStyle w:val="ConsPlusTitle"/>
        <w:jc w:val="center"/>
      </w:pPr>
      <w:r>
        <w:t xml:space="preserve">ПРЕДОСТАВЛЕНИЯ И РАСПРЕДЕЛЕНИЯ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A63908" w:rsidRDefault="00DF335E">
      <w:pPr>
        <w:pStyle w:val="ConsPlusTitle"/>
        <w:jc w:val="center"/>
      </w:pPr>
      <w:r>
        <w:t>БЮДЖЕТА МЕСТНЫМ БЮДЖЕТАМ МУРМАНСКОЙ ОБЛАСТИ</w:t>
      </w:r>
    </w:p>
    <w:p w:rsidR="00A63908" w:rsidRDefault="00DF335E">
      <w:pPr>
        <w:pStyle w:val="ConsPlusTitle"/>
        <w:jc w:val="center"/>
      </w:pPr>
      <w:r>
        <w:t xml:space="preserve">НА СОФИНАНСИРОВАНИЕ МЕРОПРИЯТИЙ </w:t>
      </w:r>
      <w:proofErr w:type="gramStart"/>
      <w:r>
        <w:t>РЕГИОНАЛЬНОЙ</w:t>
      </w:r>
      <w:proofErr w:type="gramEnd"/>
      <w:r>
        <w:t xml:space="preserve"> АДРЕСНОЙ</w:t>
      </w:r>
    </w:p>
    <w:p w:rsidR="00A63908" w:rsidRDefault="00DF335E">
      <w:pPr>
        <w:pStyle w:val="ConsPlusTitle"/>
        <w:jc w:val="center"/>
      </w:pPr>
      <w:r>
        <w:t>ПРОГРАММЫ "ПЕРЕСЕЛЕНИЕ ГРАЖДАН ИЗ АВАРИЙНОГО ЖИЛИЩНОГО ФОНДА</w:t>
      </w:r>
    </w:p>
    <w:p w:rsidR="00A63908" w:rsidRDefault="00DF335E">
      <w:pPr>
        <w:pStyle w:val="ConsPlusTitle"/>
        <w:jc w:val="center"/>
      </w:pPr>
      <w:r>
        <w:t>В МУРМАНСКОЙ ОБЛАСТИ" НА 2019 - 2024 ГОДЫ", РЕАЛИЗАЦИЯ</w:t>
      </w:r>
    </w:p>
    <w:p w:rsidR="00A63908" w:rsidRDefault="00DF335E">
      <w:pPr>
        <w:pStyle w:val="ConsPlusTitle"/>
        <w:jc w:val="center"/>
      </w:pPr>
      <w:r>
        <w:t>КОТОРЫХ ОСУЩЕСТВЛЯЕТСЯ С ПРИВЛЕЧЕНИЕМ СРЕДСТВ</w:t>
      </w:r>
    </w:p>
    <w:p w:rsidR="00A63908" w:rsidRDefault="00DF335E">
      <w:pPr>
        <w:pStyle w:val="ConsPlusTitle"/>
        <w:jc w:val="center"/>
      </w:pPr>
      <w:r>
        <w:t>ГОСУДАРСТВЕННОЙ КОРПОРАЦИИ - ФОНДА СОДЕЙСТВИЯ РЕФОРМИРОВАНИЮ</w:t>
      </w:r>
    </w:p>
    <w:p w:rsidR="00A63908" w:rsidRDefault="00DF335E">
      <w:pPr>
        <w:pStyle w:val="ConsPlusTitle"/>
        <w:jc w:val="center"/>
      </w:pPr>
      <w:r>
        <w:t>ЖИЛИЩНО-КОММУНАЛЬНОГО ХОЗЯЙСТВА"</w:t>
      </w:r>
    </w:p>
    <w:p w:rsidR="00A63908" w:rsidRDefault="00A6390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6390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908" w:rsidRDefault="00A6390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908" w:rsidRDefault="00A6390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3908" w:rsidRDefault="00DF33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3908" w:rsidRDefault="00DF335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(введены постановлением Прави</w:t>
            </w:r>
            <w:r>
              <w:rPr>
                <w:color w:val="392C69"/>
              </w:rPr>
              <w:t>тельства Мурманской области</w:t>
            </w:r>
            <w:proofErr w:type="gramEnd"/>
          </w:p>
          <w:p w:rsidR="00A63908" w:rsidRDefault="00DF335E">
            <w:pPr>
              <w:pStyle w:val="ConsPlusNormal"/>
              <w:jc w:val="center"/>
            </w:pPr>
            <w:r>
              <w:rPr>
                <w:color w:val="392C69"/>
              </w:rPr>
              <w:t>от 31.03.2023 N 242-ПП;</w:t>
            </w:r>
          </w:p>
          <w:p w:rsidR="00A63908" w:rsidRDefault="00DF335E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Мурманской области</w:t>
            </w:r>
          </w:p>
          <w:p w:rsidR="00A63908" w:rsidRDefault="00DF335E">
            <w:pPr>
              <w:pStyle w:val="ConsPlusNormal"/>
              <w:jc w:val="center"/>
            </w:pPr>
            <w:r>
              <w:rPr>
                <w:color w:val="392C69"/>
              </w:rPr>
              <w:t>от 24.07.2023 N 535-ПП, от 12.10.2023 N 725-ПП)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908" w:rsidRDefault="00A63908">
            <w:pPr>
              <w:pStyle w:val="ConsPlusNormal"/>
            </w:pPr>
          </w:p>
        </w:tc>
      </w:tr>
    </w:tbl>
    <w:p w:rsidR="00A63908" w:rsidRDefault="00A63908">
      <w:pPr>
        <w:pStyle w:val="ConsPlusNormal"/>
        <w:jc w:val="both"/>
      </w:pPr>
    </w:p>
    <w:p w:rsidR="00A63908" w:rsidRDefault="00DF335E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определяют порядок, цели и условия предоставления и распределения субсидии из областного бюджета местным бюджетам Мурманской области на софинансирование мероприятий региональной программы "Переселение граждан из аварийного жилищного фо</w:t>
      </w:r>
      <w:r>
        <w:t xml:space="preserve">нда в Мурманской области" на 2019 - 2024 годы", реализация которых осуществляется с привлечением средств государственной корпорации - Фонда содействия реформированию жилищно-коммунального хозяйства" (далее соответственно - Правила, субсидия, муниципальное </w:t>
      </w:r>
      <w:r>
        <w:t>образование, Фонд).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bookmarkStart w:id="1" w:name="P19"/>
      <w:bookmarkEnd w:id="1"/>
      <w:r>
        <w:t>2. Субсидия предоставляется Министерством строительства Мурманской области (далее - Министерство) в целях софинансирования следующих мероприятий: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- приобретение жилых помещений в многоквартирных домах, а также в домах блокированной заст</w:t>
      </w:r>
      <w:r>
        <w:t>ройки, указанных в пункте 2 части 2 статьи 49 Градостроительного кодекса Российской Федерации (в том числе в многоквартирных домах, строительство которых не завершено), и строительство таких домов (включая подготовку проектной документации в целях строител</w:t>
      </w:r>
      <w:r>
        <w:t>ьства таких домов), строительство индивидуальных жилых домов по проектам, отобранным в соответствии с методикой, утвержденной федеральным</w:t>
      </w:r>
      <w:proofErr w:type="gramEnd"/>
      <w:r>
        <w:t xml:space="preserve"> </w:t>
      </w:r>
      <w:proofErr w:type="gramStart"/>
      <w:r>
        <w:t>органом исполнительной власти, осуществляющим функции по выработке и реализации государственной политики и нормативно-</w:t>
      </w:r>
      <w:r>
        <w:t>правовому регулированию в сфере жилищной политики и жилищно-коммунального хозяйства, а также приобретение таких индивидуальных жилых домов, в том числе для целей последующего предоставления гражданам жилых помещений по договору социального найма, или догов</w:t>
      </w:r>
      <w:r>
        <w:t>ору найма жилого помещения жилищного фонда социального использования, или договору найма жилого помещения маневренного фонда в связи</w:t>
      </w:r>
      <w:proofErr w:type="gramEnd"/>
      <w:r>
        <w:t xml:space="preserve"> с переселением из аварийного жилищного фонда, или договору мены с собственником жилого помещения аварийного жилищного фонда</w:t>
      </w:r>
      <w:r>
        <w:t>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выплату гражданам, в чьей собственности находятся жилые помещения, входящие в аварийный жилищный фонд, возмещения за изымаемые жилые помещения в соответствии с частью 7 статьи 32 Жилищного кодекса Российской Федерации;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приведение жилых помещений в со</w:t>
      </w:r>
      <w:r>
        <w:t>стояние, пригодное для постоянного проживания граждан.</w:t>
      </w:r>
    </w:p>
    <w:p w:rsidR="00A63908" w:rsidRDefault="00DF335E">
      <w:pPr>
        <w:pStyle w:val="ConsPlusNormal"/>
        <w:jc w:val="both"/>
      </w:pPr>
      <w:r>
        <w:lastRenderedPageBreak/>
        <w:t>(абзац введен постановлением Правительства Мурманской области от 12.10.2023 N 725-ПП)</w:t>
      </w:r>
    </w:p>
    <w:p w:rsidR="00A63908" w:rsidRDefault="00DF335E">
      <w:pPr>
        <w:pStyle w:val="ConsPlusNormal"/>
        <w:spacing w:before="240"/>
        <w:ind w:firstLine="540"/>
        <w:jc w:val="both"/>
      </w:pPr>
      <w:bookmarkStart w:id="2" w:name="P24"/>
      <w:bookmarkEnd w:id="2"/>
      <w:r>
        <w:t>3. Субсидия предоставляется бюджетам муниципальных образований при соблюдении следующих условий: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а) при наличии зак</w:t>
      </w:r>
      <w:r>
        <w:t>люченного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субсидия, и ответственность</w:t>
      </w:r>
      <w:r>
        <w:t xml:space="preserve"> за невыполнение предусмотренных указанным Соглашением обязательств;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б) при наличии муниципальной программы, содержащей мероприятия, в целях софинансирования которых предоставляется субсидия из областного бюджета.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Муниципальная программа должна содержать: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перечень многоквартирных домов, признанных в установленном порядке аварийными и подлежащими сносу или реконструкции в связи с физическим износом в процессе их эксплуатации до 1 января 2017 года;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обоснование программных мероприятий;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 xml:space="preserve">- план мероприятий, </w:t>
      </w:r>
      <w:r>
        <w:t xml:space="preserve">подлежащих </w:t>
      </w:r>
      <w:proofErr w:type="spellStart"/>
      <w:r>
        <w:t>софинансированию</w:t>
      </w:r>
      <w:proofErr w:type="spellEnd"/>
      <w:r>
        <w:t xml:space="preserve"> за счет средств Фонда ЖКХ и областного бюджета, с указанием объемов финансирования мероприятий за счет средств Фонда ЖКХ, областного и местного бюджетов, в том числе предусматривающую возможность предоставления субсидии на приоб</w:t>
      </w:r>
      <w:r>
        <w:t>ретение (строительство) жилого помещения в размере, не превышающем разницы между стоимостью жилого помещения, равнозначного по площади изымаемому, рассчитанной исходя из нормативной стоимости квадратного метра, и полученным</w:t>
      </w:r>
      <w:proofErr w:type="gramEnd"/>
      <w:r>
        <w:t xml:space="preserve"> возмещением, и (или) субсидии на</w:t>
      </w:r>
      <w:r>
        <w:t xml:space="preserve"> возмещение части расходов на уплату процентов в размере ключевой ставки за пользование займом или кредитом, </w:t>
      </w:r>
      <w:proofErr w:type="gramStart"/>
      <w:r>
        <w:t>полученными</w:t>
      </w:r>
      <w:proofErr w:type="gramEnd"/>
      <w:r>
        <w:t xml:space="preserve"> в валюте Российской Федерации и использованными на приобретение (строительство) жилых помещений;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планируемые показатели выполнения му</w:t>
      </w:r>
      <w:r>
        <w:t>ниципальной программы;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размер стоимости одного квадратного метра общей площади жилых помещений, предоставляемых гражданам в рамках муниципальной программы.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Муниципальная программа или этапы этой программы, на реализацию которых с 2019 до 2022 года предос</w:t>
      </w:r>
      <w:r>
        <w:t>тавлена субсидия из областного бюджета, должны быть реализованы не позднее 31 декабря года, следующего за годом предоставления субсидии. Этап муниципальной программы, на реализацию которого предоставлена субсидия из областного бюджета в 2023 году, должен б</w:t>
      </w:r>
      <w:r>
        <w:t>ыть реализован не позднее 31 декабря 2024 года.</w:t>
      </w:r>
    </w:p>
    <w:p w:rsidR="00A63908" w:rsidRDefault="00DF335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24.07.2023 N 535-ПП)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При этом к указанному сроку количество граждан, переселенных из аварийного жилищного фонда, в соответствии с муниципальной програ</w:t>
      </w:r>
      <w:r>
        <w:t>ммой в совокупности не должно быть менее количества подлежащих переселению граждан, которое указано в Программе.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В случае внесения в муниципальные программы и мероприятия в указанных программах изменений, которые влекут изменения объемов финансового обеспе</w:t>
      </w:r>
      <w:r>
        <w:t>чения и (или) показателей результативности и (или) изменение состава мероприятий, в целях софинансирования которых предоставляется субсидия, муниципальное образование обеспечивает согласование соответствующих изменений с Министерством;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lastRenderedPageBreak/>
        <w:t>в) при наличии в авт</w:t>
      </w:r>
      <w:r>
        <w:t xml:space="preserve">оматизированной информационной системе "Реформа ЖКХ" </w:t>
      </w:r>
      <w:proofErr w:type="gramStart"/>
      <w:r>
        <w:t>скан-образов</w:t>
      </w:r>
      <w:proofErr w:type="gramEnd"/>
      <w:r>
        <w:t xml:space="preserve"> документов о признании домов аварийными и подлежащими сносу или реконструкции, принятых в установленном порядке.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Если за счет средств субсидий заказчиками (за исключением автономных учрежден</w:t>
      </w:r>
      <w:r>
        <w:t>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частью 7</w:t>
      </w:r>
      <w:r>
        <w:t xml:space="preserve"> статьи 26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</w:t>
      </w:r>
      <w:proofErr w:type="gramEnd"/>
      <w:r>
        <w:t xml:space="preserve"> - </w:t>
      </w:r>
      <w:proofErr w:type="gramStart"/>
      <w:r>
        <w:t>Закон N 44-ФЗ), и определение поставщиков (подрядчиков, исполнителей) осуществл</w:t>
      </w:r>
      <w:r>
        <w:t>яется уполномоченным органом, уполномоченным учреждением, полномочия которого определены решением Правительства Мурманской области.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Если за счет средств субсидий автономным учреждением осуществляется закупка в соответствии с частью 4 статьи 15 Закона N 44-</w:t>
      </w:r>
      <w:r>
        <w:t>ФЗ или юридическим лицом осуществляется закупка в соответствии с частями 4.1, 5 статьи 15 Закона N 44-ФЗ, обязательным условием предоставления субсидии является направление в Комитет по конкурентной политике Мурманской области (далее - Комитет) проекта изв</w:t>
      </w:r>
      <w:r>
        <w:t>ещения об осуществлении такой закупки и применение типовых форм</w:t>
      </w:r>
      <w:proofErr w:type="gramEnd"/>
      <w:r>
        <w:t xml:space="preserve">, </w:t>
      </w:r>
      <w:proofErr w:type="gramStart"/>
      <w:r>
        <w:t>утверждаемых</w:t>
      </w:r>
      <w:proofErr w:type="gramEnd"/>
      <w:r>
        <w:t xml:space="preserve"> Комитетом.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 xml:space="preserve">Закупки товаров, работ, услуг за счет средств субсидий в соответствии с Федеральным законом от 18.07.2011 N 223-ФЗ "О закупках товаров, работ, услуг отдельными видами </w:t>
      </w:r>
      <w:r>
        <w:t>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</w:t>
      </w:r>
      <w:r>
        <w:t>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</w:t>
      </w:r>
      <w:r>
        <w:t>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средств субсидии региональных проектов, обе</w:t>
      </w:r>
      <w:r>
        <w:t>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4. Критерием отбора муниципальных образований для предоставления субсидии является наличие на территории муниципального образования мно</w:t>
      </w:r>
      <w:r>
        <w:t>гоквартирных домов, признанных до 1 января 2017 года в установленном порядке аварийными и подлежащими сносу в связи с физическим износом в процессе их эксплуатации.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5. Показателями результативности использования субсидии является достижение установленных С</w:t>
      </w:r>
      <w:r>
        <w:t>оглашением показателей, а именно: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расселенная площадь жилых помещений по каждому этапу реализации Программы;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количество переселенных граждан по каждому этапу реализации Программы.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6. Министерство осуществляет оценку результативности предоставления субс</w:t>
      </w:r>
      <w:r>
        <w:t>идии на основании сравнения значения целевого показателя, установленного Соглашением, и фактически достигнутого целевого показателя по итогам реализации этапа Программы.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lastRenderedPageBreak/>
        <w:t>7. При заключении Соглашения уполномоченными органами местного самоуправления муниципа</w:t>
      </w:r>
      <w:r>
        <w:t xml:space="preserve">льных образований в Министерство </w:t>
      </w:r>
      <w:proofErr w:type="gramStart"/>
      <w:r>
        <w:t>предоставляется отчет</w:t>
      </w:r>
      <w:proofErr w:type="gramEnd"/>
      <w:r>
        <w:t xml:space="preserve">, подтверждающий исполнение условий предоставления субсидии, предусмотренных </w:t>
      </w:r>
      <w:hyperlink w:anchor="P24" w:tooltip="3. Субсидия предоставляется бюджетам муниципальных образований при соблюдении следующих условий:">
        <w:r>
          <w:rPr>
            <w:color w:val="0000FF"/>
          </w:rPr>
          <w:t>пунктом 3</w:t>
        </w:r>
      </w:hyperlink>
      <w:r>
        <w:t xml:space="preserve"> настоящих Правил.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8. Представление отчетности в Министерство осуществляется муниципальными образованиями по форме и в сроки, установленные Соглашением.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Министерством может устанавливаться дополнительный перечень необходимых документов и формы отчетности.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9. Субсидия предоставляется за счет средств областного бюджета и средств Фонда ЖКХ местным бюджетам в соответствии со сводной бюджетной росписью областно</w:t>
      </w:r>
      <w:r>
        <w:t xml:space="preserve">го бюджета и кассовым планом в пределах лимитов бюджетных обязательств, предусмотренных Министерству на цели, указанные в </w:t>
      </w:r>
      <w:hyperlink w:anchor="P19" w:tooltip="2. Субсидия предоставляется Министерством строительства Мурманской области (далее - Министерство) в целях софинансирования следующих мероприятий: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Распределение и перераспределение субсидии местным бюджетам из областного бюджета между муниципальными образованиями утверждается в соответствии с пунктом 2 Правил формирования, предоста</w:t>
      </w:r>
      <w:r>
        <w:t>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</w:t>
      </w:r>
      <w:r>
        <w:t>стным бюджетам Мурманской области" (далее - Правила N 445-ПП).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Высвобождающиеся средства областного бюджета, предусмотренные на предоставление субсидии, могут быть перераспределены между другими муниципальными образованиями, имеющими право на получение суб</w:t>
      </w:r>
      <w:r>
        <w:t>сидий, в случае изменения бюджетных ассигнований на сумму экономии, образовавшейся при осуществлении закупок товаров, работ, услуг конкурентными способами определения поставщиков (подрядчиков, исполнителей), либо при расторжении контракта (договора, соглаш</w:t>
      </w:r>
      <w:r>
        <w:t>ения) в связи с неисполнением (ненадлежащим исполнением) поставщиком (подрядчиком, исполнителем) условий контракта (договора, соглашения</w:t>
      </w:r>
      <w:proofErr w:type="gramEnd"/>
      <w:r>
        <w:t>), либо при невыполнении условий предоставления субсидии, изменения показателей, используемых в методике при распределен</w:t>
      </w:r>
      <w:r>
        <w:t>ии субсидии.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Объем сре</w:t>
      </w:r>
      <w:proofErr w:type="gramStart"/>
      <w:r>
        <w:t>дств дл</w:t>
      </w:r>
      <w:proofErr w:type="gramEnd"/>
      <w:r>
        <w:t xml:space="preserve">я каждого муниципального образования определяется Министерством в зависимости от способов переселения, перечня аварийных МКД, включенных в Программу, и размера планируемой стоимости одного квадратного метра общей площади жилых </w:t>
      </w:r>
      <w:r>
        <w:t>помещений, предоставляемых гражданам.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 xml:space="preserve">По мере реализации программных мероприятий в целях перераспределения объема сэкономленных средств между муниципальными образованиями в Программу вносятся изменения в части корректировки показателей расселения и объема </w:t>
      </w:r>
      <w:r>
        <w:t xml:space="preserve">финансирования под фактически заключенные контракты/соглашения. </w:t>
      </w:r>
      <w:proofErr w:type="gramStart"/>
      <w:r>
        <w:t>Далее Министерство осуществляет распределение имеющейся потребности в средствах на реализацию мероприятий по переселению граждан из аварийного жилищного фонда по источникам финансирования межд</w:t>
      </w:r>
      <w:r>
        <w:t>у муниципальными образованиями с учетом предоставленной финансовой поддержки за счет средств Фонда ЖКХ, но не более объема средств, выделенных в рамках предоставленных лимитов для реализации этапа Программы, от общей имеющейся потребности в средствах на ре</w:t>
      </w:r>
      <w:r>
        <w:t>ализацию этапа Программы, и с</w:t>
      </w:r>
      <w:proofErr w:type="gramEnd"/>
      <w:r>
        <w:t xml:space="preserve"> учетом предусмотренных средств из областного бюджета, при этом каждый этап разделен на </w:t>
      </w:r>
      <w:proofErr w:type="gramStart"/>
      <w:r>
        <w:t>финансовые</w:t>
      </w:r>
      <w:proofErr w:type="gramEnd"/>
      <w:r>
        <w:t xml:space="preserve"> года. Объем средств областного и местных бюджетов определяется как разница между общим объемом финансирования программы и объемо</w:t>
      </w:r>
      <w:r>
        <w:t>м средств Фонда ЖКХ с учетом предельного уровня софинансирования, определенного для каждого муниципального образования - участника Программы.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lastRenderedPageBreak/>
        <w:t xml:space="preserve">10. Уровень софинансирования расходного обязательства муниципального образования за счет средств областного бюджета устанавливается в размере, не превышающем предельный уровень софинансирования из областного бюджета расходного обязательства муниципального </w:t>
      </w:r>
      <w:r>
        <w:t>образования, утвержденный Правительством Мурманской области.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11. Соглашения между Министерством и органами местного самоуправления муниципальных образований о предоставлении субсидии из областного бюджета местному бюджету заключаются в соответствии с типов</w:t>
      </w:r>
      <w:r>
        <w:t>ой формой соглашения, утвержденной Министерством.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12. Соглашение должно содержать положения, установленные пунктом 7 Правил N 445-ПП.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В случае внесения в закон Мурманской области об областном бюджете на очередной финансовый год и плановый период и (или) но</w:t>
      </w:r>
      <w:r>
        <w:t>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A63908" w:rsidRDefault="00DF335E">
      <w:pPr>
        <w:pStyle w:val="ConsPlusNormal"/>
        <w:spacing w:before="240"/>
        <w:ind w:firstLine="540"/>
        <w:jc w:val="both"/>
      </w:pPr>
      <w:bookmarkStart w:id="3" w:name="P58"/>
      <w:bookmarkEnd w:id="3"/>
      <w:r>
        <w:t xml:space="preserve">13. Для заключения </w:t>
      </w:r>
      <w:r>
        <w:t>Соглашения муниципальное образование направляет в Министерство следующие документы: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подписанный со стороны муниципального образования проект Соглашения с приложениями;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копию документа, подтверждающего полномочия лица, подписавшего Соглашение;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- копию у</w:t>
      </w:r>
      <w:r>
        <w:t>твержденной в установленном порядке муниципальной программы.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 xml:space="preserve">14. Документы, указанные в </w:t>
      </w:r>
      <w:hyperlink w:anchor="P58" w:tooltip="13. Для заключения Соглашения муниципальное образование направляет в Министерство следующие документы:">
        <w:r>
          <w:rPr>
            <w:color w:val="0000FF"/>
          </w:rPr>
          <w:t>пункте 13</w:t>
        </w:r>
      </w:hyperlink>
      <w:r>
        <w:t xml:space="preserve"> настоящих Правил, подпис</w:t>
      </w:r>
      <w:r>
        <w:t>ываются и заверяются главой администрации муниципального образования или лицом, исполняющим его обязанности.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 xml:space="preserve">15. Неполное представление документов, указанных в </w:t>
      </w:r>
      <w:hyperlink w:anchor="P58" w:tooltip="13. Для заключения Соглашения муниципальное образование направляет в Министерство следующие документы:">
        <w:r>
          <w:rPr>
            <w:color w:val="0000FF"/>
          </w:rPr>
          <w:t>пункте 13</w:t>
        </w:r>
      </w:hyperlink>
      <w:r>
        <w:t xml:space="preserve"> настоящих Правил, или представление документов, не соответствующих требованиям, считается нарушением Правил и является основанием для отказа в предоставлении субсидии.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16. Субсидии перечисляются на единые сче</w:t>
      </w:r>
      <w:r>
        <w:t>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</w:t>
      </w:r>
      <w:r>
        <w:t>го на использование субсидии.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 xml:space="preserve">17. </w:t>
      </w:r>
      <w:proofErr w:type="gramStart"/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</w:t>
      </w:r>
      <w:r>
        <w:t>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r>
        <w:t>18. Не исп</w:t>
      </w:r>
      <w:r>
        <w:t>ользованные на 1 января текущего финансового года средства субсидии подлежат возврату в доход областного бюджета.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В соответствии с решением главного распорядителя средств областного бюджета о наличии потребности в средствах субсидии, не использованных в от</w:t>
      </w:r>
      <w:r>
        <w:t xml:space="preserve">четном финансовом году, </w:t>
      </w:r>
      <w:r>
        <w:lastRenderedPageBreak/>
        <w:t>согласованным с Министерством финансов Мурманской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</w:t>
      </w:r>
      <w:r>
        <w:t>беспечения расходов бюджета, соответствующих целям предоставления указанной субсидии.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</w:t>
      </w:r>
      <w:r>
        <w:t>ке, устанавливаемом Министерством финансов Мурманской области.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Потребность в неиспользованных остатках средств субсидии, перечисление которой осуществлялось в отчетном финансовом году в пределах суммы, необходимой для оплаты денежных обязательств по расход</w:t>
      </w:r>
      <w:r>
        <w:t>ам получателей средств местного бюджета, источником финансового обеспечения которых является субсидия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</w:t>
      </w:r>
      <w:r>
        <w:t>тв областного бюджета.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</w:t>
      </w:r>
      <w:r>
        <w:t>ии, предоставление которой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</w:t>
      </w:r>
      <w:r>
        <w:t>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главным распорядителем средств областного бюджета в Министерство финансов Мурманской области.</w:t>
      </w:r>
    </w:p>
    <w:p w:rsidR="00A63908" w:rsidRDefault="00A6390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6390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908" w:rsidRDefault="00A6390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908" w:rsidRDefault="00A6390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3908" w:rsidRDefault="00DF335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A63908" w:rsidRDefault="00DF335E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</w:t>
            </w:r>
            <w:r>
              <w:rPr>
                <w:color w:val="392C69"/>
              </w:rPr>
              <w:t>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908" w:rsidRDefault="00A63908">
            <w:pPr>
              <w:pStyle w:val="ConsPlusNormal"/>
            </w:pPr>
          </w:p>
        </w:tc>
      </w:tr>
    </w:tbl>
    <w:p w:rsidR="00A63908" w:rsidRDefault="00DF335E">
      <w:pPr>
        <w:pStyle w:val="ConsPlusNormal"/>
        <w:spacing w:before="300"/>
        <w:ind w:firstLine="540"/>
        <w:jc w:val="both"/>
      </w:pPr>
      <w:bookmarkStart w:id="4" w:name="P73"/>
      <w:bookmarkEnd w:id="4"/>
      <w:r>
        <w:t>18.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подпунктами 2, 5, 6 пункта 7</w:t>
      </w:r>
      <w:r>
        <w:t xml:space="preserve"> Правил N 445-ПП, объем средств, подлежащий возврату в областной бюджет, определяется в соответствии с пунктами 12, 13 Правил N 445-ПП.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19. Основанием для освобождения муниципальных образований от применения мер ответственности, предусмотренных пунктами 12</w:t>
      </w:r>
      <w:r>
        <w:t xml:space="preserve"> и 13 Правил N 445-ПП, является документально подтвержденное наступление обстоятельств непреодолимой силы, предусмотренных пунктом 14 Правил N 445-ПП.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В случае отсутствия оснований для освобождения муниципальных образований от применения мер ответственност</w:t>
      </w:r>
      <w:r>
        <w:t>и, предусмотренных пунктами 12 и 13 Правил N 445-ПП,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</w:t>
      </w:r>
      <w:r>
        <w:t>оставления субсидии, а в случае предоставления субсидии в целях софинансирования капитальных вложений в объекты</w:t>
      </w:r>
      <w:proofErr w:type="gramEnd"/>
      <w:r>
        <w:t xml:space="preserve"> муниципальной собственности - не позднее 10 апреля года, следующего за годом предоставления субсидии, направляет главе администрации муниципальн</w:t>
      </w:r>
      <w:r>
        <w:t>ого образования требование по возврату из местного бюджета в областной бюджет объема средств, рассчитанного в соответствии с пунктами 12 и 13 Правил N 445-ПП, с указанием сумм, подлежащих возврату, средств и сроков их возврата.</w:t>
      </w:r>
    </w:p>
    <w:p w:rsidR="00A63908" w:rsidRDefault="00DF335E">
      <w:pPr>
        <w:pStyle w:val="ConsPlusNormal"/>
        <w:spacing w:before="240"/>
        <w:ind w:firstLine="540"/>
        <w:jc w:val="both"/>
      </w:pPr>
      <w:proofErr w:type="gramStart"/>
      <w:r>
        <w:t>В случае если в отчетном год</w:t>
      </w:r>
      <w:r>
        <w:t xml:space="preserve">у или до 1 апреля текущего года прекращены полномочия главы </w:t>
      </w:r>
      <w:r>
        <w:lastRenderedPageBreak/>
        <w:t>администрации муниципального образования, заключившего соглашение, содержащееся в котором обязательство, предусмотренное подпунктом 2 пункта 7 Правил N 445-ПП, нарушено, и главой администрации мун</w:t>
      </w:r>
      <w:r>
        <w:t>иципального образования (временно исполняющим обязанности главы администрации муниципального образования) назначено другое лицо, муниципальное образование освобождается от применения мер ответственности.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r>
        <w:t xml:space="preserve">20. Действие </w:t>
      </w:r>
      <w:hyperlink w:anchor="P73" w:tooltip="18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ами 2, 5, 6 пункта 7 Правил N 445-ПП, объем средств, подлежащий возврату в областной бюджет, определяе">
        <w:r>
          <w:rPr>
            <w:color w:val="0000FF"/>
          </w:rPr>
          <w:t>18</w:t>
        </w:r>
      </w:hyperlink>
      <w:r>
        <w:t xml:space="preserve"> </w:t>
      </w:r>
      <w:r>
        <w:t>настоящих Правил не распространяется на случаи, когда муниципальным образованием не достигнуты показатели результативности, установленные Соглашением, по истечении первого года реализации этапа Программы.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 xml:space="preserve">21. </w:t>
      </w:r>
      <w:proofErr w:type="gramStart"/>
      <w:r>
        <w:t>В случае если муниципальным образованием по сос</w:t>
      </w:r>
      <w:r>
        <w:t>тоянию на 31 декабря года предоставления Субсидии допущены нарушения обязательств, предусмотренных Соглашением в соответствии с подпунктом 4 пункта 7 Правил N 445-ПП, объем средств, подлежащий возврату из местного бюджета в областной бюджет в срок до 1 июн</w:t>
      </w:r>
      <w:r>
        <w:t>я года, следующего за годом предоставления Субсидии, определяется в соответствии с пунктом 16 Правил N 445-ПП.</w:t>
      </w:r>
      <w:proofErr w:type="gramEnd"/>
    </w:p>
    <w:p w:rsidR="00A63908" w:rsidRDefault="00DF335E">
      <w:pPr>
        <w:pStyle w:val="ConsPlusNormal"/>
        <w:spacing w:before="240"/>
        <w:ind w:firstLine="540"/>
        <w:jc w:val="both"/>
      </w:pPr>
      <w:r>
        <w:t>22. Средства субсидии носят целевой характер и не могут быть использованы на другие цели.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Муниципальное образование несет ответственность за целе</w:t>
      </w:r>
      <w:r>
        <w:t>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>23.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A63908" w:rsidRDefault="00DF335E">
      <w:pPr>
        <w:pStyle w:val="ConsPlusNormal"/>
        <w:spacing w:before="240"/>
        <w:ind w:firstLine="540"/>
        <w:jc w:val="both"/>
      </w:pPr>
      <w:r>
        <w:t xml:space="preserve">24. </w:t>
      </w:r>
      <w:proofErr w:type="gramStart"/>
      <w:r>
        <w:t>Контроль за</w:t>
      </w:r>
      <w:proofErr w:type="gramEnd"/>
      <w:r>
        <w:t xml:space="preserve"> соблюдением получателями субсидии условий, целей и порядка, установленных при их предос</w:t>
      </w:r>
      <w:r>
        <w:t>тавлении, осуществляется Министерством и органами государственного финансового контроля Мурманской области.</w:t>
      </w:r>
    </w:p>
    <w:p w:rsidR="00A63908" w:rsidRDefault="00A63908">
      <w:pPr>
        <w:pStyle w:val="ConsPlusNormal"/>
        <w:jc w:val="both"/>
      </w:pPr>
    </w:p>
    <w:p w:rsidR="00A63908" w:rsidRDefault="00A63908">
      <w:pPr>
        <w:pStyle w:val="ConsPlusNormal"/>
        <w:jc w:val="both"/>
      </w:pPr>
    </w:p>
    <w:p w:rsidR="00A63908" w:rsidRDefault="00A6390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63908" w:rsidRDefault="00DF335E">
      <w:pPr>
        <w:pStyle w:val="ConsPlusNormal"/>
      </w:pPr>
      <w:r>
        <w:rPr>
          <w:i/>
        </w:rPr>
        <w:br/>
        <w:t>Постановление Правительства Мурманской области от 01.04.2019 N 153-ПП (ред. от 30.07.2025) "Об утверждении региональной адресной программы "</w:t>
      </w:r>
      <w:r>
        <w:rPr>
          <w:i/>
        </w:rPr>
        <w:t>Переселение граждан из аварийного жилищного фонда в Мурманской области" на 2019 - 2024 годы"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A63908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08"/>
    <w:rsid w:val="00A63908"/>
    <w:rsid w:val="00DF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01.04.2019 N 153-ПП
(ред. от 30.07.2025)
"Об утверждении региональной адресной программы "Переселение граждан из аварийного жилищного фонда в Мурманской области" на 2019 - 2024 годы"</vt:lpstr>
    </vt:vector>
  </TitlesOfParts>
  <Company>КонсультантПлюс Версия 4024.00.50</Company>
  <LinksUpToDate>false</LinksUpToDate>
  <CharactersWithSpaces>21403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01.04.2019 N 153-ПП
(ред. от 30.07.2025)
"Об утверждении региональной адресной программы "Переселение граждан из аварийного жилищного фонда в Мурманской области" на 2019 - 2024 годы"</dc:title>
  <dc:creator>Поддубная А.В.</dc:creator>
  <cp:lastModifiedBy>Поддубная А.В.</cp:lastModifiedBy>
  <cp:revision>2</cp:revision>
  <dcterms:created xsi:type="dcterms:W3CDTF">2025-10-21T13:46:00Z</dcterms:created>
  <dcterms:modified xsi:type="dcterms:W3CDTF">2025-10-21T13:46:00Z</dcterms:modified>
</cp:coreProperties>
</file>